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29C10">
      <w:pPr>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浙江广厦建设职业技术大学</w:t>
      </w:r>
    </w:p>
    <w:p w14:paraId="1FE19535">
      <w:pPr>
        <w:jc w:val="center"/>
        <w:rPr>
          <w:rFonts w:hint="eastAsia" w:ascii="黑体" w:hAnsi="黑体" w:eastAsia="黑体"/>
          <w:color w:val="auto"/>
          <w:sz w:val="30"/>
          <w:szCs w:val="30"/>
          <w:lang w:val="en-US" w:eastAsia="zh-CN"/>
        </w:rPr>
      </w:pPr>
      <w:r>
        <w:rPr>
          <w:rFonts w:hint="eastAsia" w:ascii="黑体" w:hAnsi="黑体" w:eastAsia="黑体"/>
          <w:color w:val="auto"/>
          <w:sz w:val="30"/>
          <w:szCs w:val="30"/>
          <w:lang w:val="en-US" w:eastAsia="zh-CN"/>
        </w:rPr>
        <w:t>2026年世界职业院校技能大赛中华传统技艺赛道竞赛项目技术服务询价函</w:t>
      </w:r>
    </w:p>
    <w:p w14:paraId="78306381">
      <w:pPr>
        <w:bidi w:val="0"/>
        <w:spacing w:line="240" w:lineRule="auto"/>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根据《中华人民共和国政府采购法》及有关规定，参考东阳</w:t>
      </w:r>
      <w:r>
        <w:rPr>
          <w:rFonts w:hint="eastAsia" w:ascii="宋体" w:hAnsi="宋体" w:eastAsia="宋体"/>
          <w:color w:val="auto"/>
          <w:sz w:val="28"/>
          <w:szCs w:val="28"/>
        </w:rPr>
        <w:t>市财政局关于明确</w:t>
      </w:r>
      <w:r>
        <w:rPr>
          <w:rFonts w:hint="eastAsia" w:ascii="宋体" w:hAnsi="宋体" w:eastAsia="宋体"/>
          <w:color w:val="auto"/>
          <w:sz w:val="28"/>
          <w:szCs w:val="28"/>
          <w:lang w:val="en-US" w:eastAsia="zh-CN"/>
        </w:rPr>
        <w:t>东阳市</w:t>
      </w:r>
      <w:r>
        <w:rPr>
          <w:rFonts w:hint="eastAsia" w:ascii="宋体" w:hAnsi="宋体" w:eastAsia="宋体"/>
          <w:color w:val="auto"/>
          <w:sz w:val="28"/>
          <w:szCs w:val="28"/>
        </w:rPr>
        <w:t>202</w:t>
      </w:r>
      <w:r>
        <w:rPr>
          <w:rFonts w:hint="eastAsia" w:ascii="宋体" w:hAnsi="宋体"/>
          <w:color w:val="auto"/>
          <w:sz w:val="28"/>
          <w:szCs w:val="28"/>
          <w:lang w:val="en-US" w:eastAsia="zh-CN"/>
        </w:rPr>
        <w:t>5</w:t>
      </w:r>
      <w:r>
        <w:rPr>
          <w:rFonts w:hint="eastAsia" w:ascii="宋体" w:hAnsi="宋体" w:eastAsia="宋体"/>
          <w:color w:val="auto"/>
          <w:sz w:val="28"/>
          <w:szCs w:val="28"/>
        </w:rPr>
        <w:t>-202</w:t>
      </w:r>
      <w:r>
        <w:rPr>
          <w:rFonts w:hint="eastAsia" w:ascii="宋体" w:hAnsi="宋体"/>
          <w:color w:val="auto"/>
          <w:sz w:val="28"/>
          <w:szCs w:val="28"/>
          <w:lang w:val="en-US" w:eastAsia="zh-CN"/>
        </w:rPr>
        <w:t>6</w:t>
      </w:r>
      <w:r>
        <w:rPr>
          <w:rFonts w:hint="eastAsia" w:ascii="宋体" w:hAnsi="宋体" w:eastAsia="宋体"/>
          <w:color w:val="auto"/>
          <w:sz w:val="28"/>
          <w:szCs w:val="28"/>
        </w:rPr>
        <w:t>年行政事业单位和社会团体审计服务框架协议</w:t>
      </w:r>
      <w:r>
        <w:rPr>
          <w:rFonts w:hint="eastAsia" w:ascii="宋体" w:hAnsi="宋体" w:eastAsia="宋体"/>
          <w:b w:val="0"/>
          <w:bCs w:val="0"/>
          <w:color w:val="auto"/>
          <w:sz w:val="28"/>
          <w:szCs w:val="28"/>
        </w:rPr>
        <w:t>采购的通知</w:t>
      </w:r>
      <w:r>
        <w:rPr>
          <w:rFonts w:hint="eastAsia" w:ascii="宋体" w:hAnsi="宋体" w:eastAsia="宋体"/>
          <w:b w:val="0"/>
          <w:bCs w:val="0"/>
          <w:color w:val="auto"/>
          <w:sz w:val="28"/>
          <w:szCs w:val="28"/>
          <w:lang w:val="en-US" w:eastAsia="zh-CN"/>
        </w:rPr>
        <w:t>，</w:t>
      </w:r>
      <w:r>
        <w:rPr>
          <w:rFonts w:hint="eastAsia" w:ascii="宋体" w:hAnsi="宋体"/>
          <w:b w:val="0"/>
          <w:bCs w:val="0"/>
          <w:color w:val="auto"/>
          <w:sz w:val="28"/>
          <w:szCs w:val="28"/>
          <w:lang w:val="en-US" w:eastAsia="zh-CN"/>
        </w:rPr>
        <w:t>对</w:t>
      </w:r>
      <w:r>
        <w:rPr>
          <w:rFonts w:hint="eastAsia" w:ascii="宋体" w:hAnsi="宋体" w:eastAsia="宋体"/>
          <w:color w:val="auto"/>
          <w:sz w:val="28"/>
          <w:szCs w:val="28"/>
          <w:lang w:val="en-US" w:eastAsia="zh-CN"/>
        </w:rPr>
        <w:t>202</w:t>
      </w:r>
      <w:r>
        <w:rPr>
          <w:rFonts w:hint="eastAsia" w:ascii="宋体" w:hAnsi="宋体"/>
          <w:color w:val="auto"/>
          <w:sz w:val="28"/>
          <w:szCs w:val="28"/>
          <w:lang w:val="en-US" w:eastAsia="zh-CN"/>
        </w:rPr>
        <w:t>6</w:t>
      </w:r>
      <w:r>
        <w:rPr>
          <w:rFonts w:hint="eastAsia" w:ascii="宋体" w:hAnsi="宋体" w:eastAsia="宋体"/>
          <w:color w:val="auto"/>
          <w:sz w:val="28"/>
          <w:szCs w:val="28"/>
          <w:lang w:val="en-US" w:eastAsia="zh-CN"/>
        </w:rPr>
        <w:t>年世界职业院校技能大赛中华传统技艺赛道竞赛项目技术服务</w:t>
      </w:r>
      <w:r>
        <w:rPr>
          <w:rFonts w:hint="eastAsia" w:ascii="宋体" w:hAnsi="宋体" w:eastAsia="宋体"/>
          <w:b w:val="0"/>
          <w:bCs w:val="0"/>
          <w:color w:val="auto"/>
          <w:sz w:val="28"/>
          <w:szCs w:val="28"/>
          <w:lang w:val="en-US" w:eastAsia="zh-CN"/>
        </w:rPr>
        <w:t>进</w:t>
      </w:r>
      <w:r>
        <w:rPr>
          <w:rFonts w:hint="eastAsia" w:ascii="宋体" w:hAnsi="宋体"/>
          <w:b w:val="0"/>
          <w:bCs w:val="0"/>
          <w:color w:val="auto"/>
          <w:sz w:val="28"/>
          <w:szCs w:val="28"/>
          <w:lang w:val="en-US" w:eastAsia="zh-CN"/>
        </w:rPr>
        <w:t>行询价。</w:t>
      </w:r>
    </w:p>
    <w:p w14:paraId="363D0C05">
      <w:pPr>
        <w:numPr>
          <w:ilvl w:val="0"/>
          <w:numId w:val="1"/>
        </w:numPr>
        <w:bidi w:val="0"/>
        <w:ind w:firstLine="560" w:firstLineChars="200"/>
        <w:rPr>
          <w:rFonts w:hint="eastAsia" w:ascii="黑体" w:hAnsi="黑体" w:eastAsia="黑体"/>
          <w:sz w:val="28"/>
          <w:szCs w:val="28"/>
          <w:lang w:val="en-US" w:eastAsia="zh-CN"/>
        </w:rPr>
      </w:pPr>
      <w:r>
        <w:rPr>
          <w:rFonts w:hint="eastAsia" w:ascii="黑体" w:hAnsi="黑体" w:eastAsia="黑体"/>
          <w:sz w:val="28"/>
          <w:szCs w:val="28"/>
          <w:lang w:val="en-US" w:eastAsia="zh-CN"/>
        </w:rPr>
        <w:t>项目基本情况</w:t>
      </w:r>
    </w:p>
    <w:tbl>
      <w:tblPr>
        <w:tblStyle w:val="11"/>
        <w:tblpPr w:leftFromText="180" w:rightFromText="180" w:vertAnchor="text" w:horzAnchor="page" w:tblpX="923" w:tblpY="93"/>
        <w:tblOverlap w:val="never"/>
        <w:tblW w:w="103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4350"/>
        <w:gridCol w:w="1589"/>
        <w:gridCol w:w="2644"/>
      </w:tblGrid>
      <w:tr w14:paraId="0CDB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4F1644F7">
            <w:pPr>
              <w:keepNext w:val="0"/>
              <w:keepLines w:val="0"/>
              <w:pageBreakBefore w:val="0"/>
              <w:widowControl w:val="0"/>
              <w:numPr>
                <w:ilvl w:val="0"/>
                <w:numId w:val="0"/>
              </w:numPr>
              <w:kinsoku/>
              <w:wordWrap/>
              <w:overflowPunct/>
              <w:topLinePunct w:val="0"/>
              <w:autoSpaceDE/>
              <w:autoSpaceDN/>
              <w:bidi w:val="0"/>
              <w:snapToGrid w:val="0"/>
              <w:spacing w:line="579" w:lineRule="exact"/>
              <w:ind w:right="0" w:rightChars="0"/>
              <w:jc w:val="center"/>
              <w:rPr>
                <w:rFonts w:hint="eastAsia" w:ascii="黑体" w:hAnsi="黑体" w:eastAsia="黑体"/>
                <w:sz w:val="32"/>
                <w:szCs w:val="32"/>
                <w:vertAlign w:val="baseline"/>
                <w:lang w:val="en-US" w:eastAsia="zh-CN"/>
              </w:rPr>
            </w:pPr>
            <w:r>
              <w:rPr>
                <w:rFonts w:hint="eastAsia" w:ascii="黑体" w:hAnsi="黑体" w:eastAsia="黑体"/>
                <w:sz w:val="32"/>
                <w:szCs w:val="32"/>
                <w:vertAlign w:val="baseline"/>
                <w:lang w:val="en-US" w:eastAsia="zh-CN"/>
              </w:rPr>
              <w:t>项目名称</w:t>
            </w:r>
          </w:p>
        </w:tc>
        <w:tc>
          <w:tcPr>
            <w:tcW w:w="4350" w:type="dxa"/>
          </w:tcPr>
          <w:p w14:paraId="5CFBD0B8">
            <w:pPr>
              <w:keepNext w:val="0"/>
              <w:keepLines w:val="0"/>
              <w:pageBreakBefore w:val="0"/>
              <w:widowControl w:val="0"/>
              <w:numPr>
                <w:ilvl w:val="0"/>
                <w:numId w:val="0"/>
              </w:numPr>
              <w:kinsoku/>
              <w:wordWrap/>
              <w:overflowPunct/>
              <w:topLinePunct w:val="0"/>
              <w:autoSpaceDE/>
              <w:autoSpaceDN/>
              <w:bidi w:val="0"/>
              <w:snapToGrid w:val="0"/>
              <w:spacing w:line="579" w:lineRule="exact"/>
              <w:ind w:right="0" w:rightChars="0"/>
              <w:jc w:val="center"/>
              <w:rPr>
                <w:rFonts w:hint="eastAsia" w:ascii="黑体" w:hAnsi="黑体" w:eastAsia="黑体"/>
                <w:sz w:val="32"/>
                <w:szCs w:val="32"/>
                <w:vertAlign w:val="baseline"/>
                <w:lang w:val="en-US" w:eastAsia="zh-CN"/>
              </w:rPr>
            </w:pPr>
            <w:r>
              <w:rPr>
                <w:rFonts w:hint="eastAsia" w:ascii="黑体" w:hAnsi="黑体" w:eastAsia="黑体"/>
                <w:sz w:val="32"/>
                <w:szCs w:val="32"/>
                <w:vertAlign w:val="baseline"/>
                <w:lang w:val="en-US" w:eastAsia="zh-CN"/>
              </w:rPr>
              <w:t>工作内容</w:t>
            </w:r>
          </w:p>
        </w:tc>
        <w:tc>
          <w:tcPr>
            <w:tcW w:w="1589" w:type="dxa"/>
          </w:tcPr>
          <w:p w14:paraId="325813A6">
            <w:pPr>
              <w:keepNext w:val="0"/>
              <w:keepLines w:val="0"/>
              <w:pageBreakBefore w:val="0"/>
              <w:widowControl w:val="0"/>
              <w:numPr>
                <w:ilvl w:val="0"/>
                <w:numId w:val="0"/>
              </w:numPr>
              <w:kinsoku/>
              <w:wordWrap/>
              <w:overflowPunct/>
              <w:topLinePunct w:val="0"/>
              <w:autoSpaceDE/>
              <w:autoSpaceDN/>
              <w:bidi w:val="0"/>
              <w:snapToGrid w:val="0"/>
              <w:spacing w:line="579" w:lineRule="exact"/>
              <w:ind w:right="0" w:rightChars="0"/>
              <w:jc w:val="center"/>
              <w:rPr>
                <w:rFonts w:hint="eastAsia" w:ascii="黑体" w:hAnsi="黑体" w:eastAsia="黑体"/>
                <w:sz w:val="32"/>
                <w:szCs w:val="32"/>
                <w:vertAlign w:val="baseline"/>
                <w:lang w:val="en-US" w:eastAsia="zh-CN"/>
              </w:rPr>
            </w:pPr>
            <w:r>
              <w:rPr>
                <w:rFonts w:hint="eastAsia" w:ascii="黑体" w:hAnsi="黑体" w:eastAsia="黑体"/>
                <w:sz w:val="32"/>
                <w:szCs w:val="32"/>
                <w:vertAlign w:val="baseline"/>
                <w:lang w:val="en-US" w:eastAsia="zh-CN"/>
              </w:rPr>
              <w:t>最高限价</w:t>
            </w:r>
          </w:p>
        </w:tc>
        <w:tc>
          <w:tcPr>
            <w:tcW w:w="2644" w:type="dxa"/>
          </w:tcPr>
          <w:p w14:paraId="61CDDFCD">
            <w:pPr>
              <w:keepNext w:val="0"/>
              <w:keepLines w:val="0"/>
              <w:pageBreakBefore w:val="0"/>
              <w:widowControl w:val="0"/>
              <w:numPr>
                <w:ilvl w:val="0"/>
                <w:numId w:val="0"/>
              </w:numPr>
              <w:kinsoku/>
              <w:wordWrap/>
              <w:overflowPunct/>
              <w:topLinePunct w:val="0"/>
              <w:autoSpaceDE/>
              <w:autoSpaceDN/>
              <w:bidi w:val="0"/>
              <w:snapToGrid w:val="0"/>
              <w:spacing w:line="579" w:lineRule="exact"/>
              <w:ind w:right="0" w:rightChars="0"/>
              <w:jc w:val="center"/>
              <w:rPr>
                <w:rFonts w:hint="eastAsia" w:ascii="黑体" w:hAnsi="黑体" w:eastAsia="黑体"/>
                <w:sz w:val="32"/>
                <w:szCs w:val="32"/>
                <w:vertAlign w:val="baseline"/>
                <w:lang w:val="en-US" w:eastAsia="zh-CN"/>
              </w:rPr>
            </w:pPr>
            <w:r>
              <w:rPr>
                <w:rFonts w:hint="eastAsia" w:ascii="黑体" w:hAnsi="黑体" w:eastAsia="黑体"/>
                <w:sz w:val="32"/>
                <w:szCs w:val="32"/>
                <w:vertAlign w:val="baseline"/>
                <w:lang w:val="en-US" w:eastAsia="zh-CN"/>
              </w:rPr>
              <w:t>备注</w:t>
            </w:r>
          </w:p>
        </w:tc>
      </w:tr>
      <w:tr w14:paraId="3630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177B173B">
            <w:pPr>
              <w:keepNext w:val="0"/>
              <w:keepLines w:val="0"/>
              <w:pageBreakBefore w:val="0"/>
              <w:widowControl w:val="0"/>
              <w:numPr>
                <w:ilvl w:val="0"/>
                <w:numId w:val="0"/>
              </w:numPr>
              <w:kinsoku/>
              <w:wordWrap/>
              <w:overflowPunct/>
              <w:topLinePunct w:val="0"/>
              <w:autoSpaceDE/>
              <w:autoSpaceDN/>
              <w:bidi w:val="0"/>
              <w:snapToGrid w:val="0"/>
              <w:spacing w:line="400" w:lineRule="exact"/>
              <w:ind w:right="0" w:rightChars="0"/>
              <w:jc w:val="left"/>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2026年世界职业院校技能大赛中华传统技艺赛道竞赛项目技术服务</w:t>
            </w:r>
          </w:p>
        </w:tc>
        <w:tc>
          <w:tcPr>
            <w:tcW w:w="4350" w:type="dxa"/>
          </w:tcPr>
          <w:p w14:paraId="41D464BF">
            <w:pPr>
              <w:keepNext w:val="0"/>
              <w:keepLines w:val="0"/>
              <w:widowControl/>
              <w:numPr>
                <w:ilvl w:val="0"/>
                <w:numId w:val="2"/>
              </w:numPr>
              <w:suppressLineNumbers w:val="0"/>
              <w:spacing w:before="0" w:beforeAutospacing="1" w:after="0" w:afterAutospacing="1"/>
              <w:ind w:left="720" w:hanging="360"/>
            </w:pPr>
            <w:r>
              <w:rPr>
                <w:rStyle w:val="5"/>
              </w:rPr>
              <w:t>备赛全周期规划与复盘服务</w:t>
            </w:r>
            <w:r>
              <w:t>：结合世赛技术标准，定制前期夯实基础、中期强化提升、后期冲刺优化三阶段备赛实施方案，明确各阶段任务、时间节点、资源配置与验收标准；赛事结束后 15 个工作日内完成项目成果复盘，输出复盘报告，总结参赛优势亮点、待优化方向与行业适配提升建议，沉淀备赛经验。</w:t>
            </w:r>
          </w:p>
          <w:p w14:paraId="794F9E94">
            <w:pPr>
              <w:keepNext w:val="0"/>
              <w:keepLines w:val="0"/>
              <w:widowControl/>
              <w:numPr>
                <w:ilvl w:val="0"/>
                <w:numId w:val="2"/>
              </w:numPr>
              <w:suppressLineNumbers w:val="0"/>
              <w:spacing w:before="0" w:beforeAutospacing="1" w:after="0" w:afterAutospacing="1"/>
              <w:ind w:left="720" w:hanging="360"/>
            </w:pPr>
            <w:r>
              <w:rPr>
                <w:rStyle w:val="5"/>
              </w:rPr>
              <w:t>线上专家培训与课程资源建设</w:t>
            </w:r>
            <w:r>
              <w:t>：开发 20 课时专属精讲录播课程，覆盖赛事制度解析、核心技能实操规范、世赛技术标准衔接、备赛避坑指引，支持团队反复回看学习；开展 3 次赛道定制线上专题会议，围绕备赛规划落地研讨、核心技能难点攻坚、参赛成果优化打磨开展指导，会后交付书面纪要与会议回放链接。</w:t>
            </w:r>
          </w:p>
          <w:p w14:paraId="6A138F78">
            <w:pPr>
              <w:keepNext w:val="0"/>
              <w:keepLines w:val="0"/>
              <w:widowControl/>
              <w:numPr>
                <w:ilvl w:val="0"/>
                <w:numId w:val="2"/>
              </w:numPr>
              <w:suppressLineNumbers w:val="0"/>
              <w:spacing w:before="0" w:beforeAutospacing="1" w:after="0" w:afterAutospacing="1"/>
              <w:ind w:left="720" w:hanging="360"/>
            </w:pPr>
            <w:r>
              <w:rPr>
                <w:rStyle w:val="5"/>
              </w:rPr>
              <w:t>专属答疑与项目专项研讨支撑</w:t>
            </w:r>
            <w:r>
              <w:t>：服务期工作日 9:00</w:t>
            </w:r>
            <w:r>
              <w:noBreakHyphen/>
            </w:r>
            <w:r>
              <w:t>22:00 开通专属答疑群，分级响应赛事政策咨询、技术方案优化等各类问题，简单问题限时答复，复杂问题交付专属解决方案；组织行业专家开展项目专项研讨，剖析参赛项目核心逻辑、技术路径、行业应用价值，对标赛事评分导向给出项目优化专业建议。</w:t>
            </w:r>
          </w:p>
          <w:p w14:paraId="64BE4454">
            <w:pPr>
              <w:keepNext w:val="0"/>
              <w:keepLines w:val="0"/>
              <w:widowControl/>
              <w:numPr>
                <w:ilvl w:val="0"/>
                <w:numId w:val="2"/>
              </w:numPr>
              <w:suppressLineNumbers w:val="0"/>
              <w:spacing w:before="0" w:beforeAutospacing="1" w:after="0" w:afterAutospacing="1"/>
              <w:ind w:left="720" w:hanging="360"/>
            </w:pPr>
            <w:r>
              <w:rPr>
                <w:rStyle w:val="5"/>
              </w:rPr>
              <w:t>参赛材料打磨与创新点挖掘</w:t>
            </w:r>
            <w:r>
              <w:t>：优化项目名称、撰写参赛报名简介；梳理参赛项目核心技能要点，完成技能清单、实操标准、考核重点三维分析，深度挖掘技术、流程、应用创新亮点，提炼项目差异化竞争优势；完成参赛设备清单专项梳理，明确设备型号、参数、操作规范，输出设备选型优化建议。</w:t>
            </w:r>
          </w:p>
          <w:p w14:paraId="121956A5">
            <w:pPr>
              <w:keepNext w:val="0"/>
              <w:keepLines w:val="0"/>
              <w:widowControl/>
              <w:numPr>
                <w:ilvl w:val="0"/>
                <w:numId w:val="2"/>
              </w:numPr>
              <w:suppressLineNumbers w:val="0"/>
              <w:spacing w:before="0" w:beforeAutospacing="1" w:after="0" w:afterAutospacing="1"/>
              <w:ind w:left="720" w:hanging="360"/>
            </w:pPr>
            <w:r>
              <w:rPr>
                <w:rStyle w:val="5"/>
              </w:rPr>
              <w:t>路演展示材料创作与优化</w:t>
            </w:r>
            <w:r>
              <w:t>：撰写并润色项目解说词，支持 2 次修改迭代；配套完成参赛专属 PPT 设计美化；收到路演视频后 72 小时内开展专项线上指导，优化技能逻辑、成果场景呈现、专业术语表达，打磨路演呈现效果。</w:t>
            </w:r>
          </w:p>
          <w:p w14:paraId="27B1CCC9">
            <w:pPr>
              <w:keepNext w:val="0"/>
              <w:keepLines w:val="0"/>
              <w:widowControl/>
              <w:numPr>
                <w:ilvl w:val="0"/>
                <w:numId w:val="2"/>
              </w:numPr>
              <w:suppressLineNumbers w:val="0"/>
              <w:spacing w:before="0" w:beforeAutospacing="1" w:after="0" w:afterAutospacing="1"/>
              <w:ind w:left="720" w:hanging="360"/>
              <w:rPr>
                <w:rFonts w:hint="default" w:ascii="宋体" w:hAnsi="宋体" w:cs="宋体"/>
                <w:color w:val="auto"/>
                <w:sz w:val="21"/>
                <w:szCs w:val="21"/>
                <w:vertAlign w:val="baseline"/>
                <w:lang w:val="en-US" w:eastAsia="zh-CN"/>
              </w:rPr>
            </w:pPr>
            <w:r>
              <w:rPr>
                <w:rStyle w:val="5"/>
              </w:rPr>
              <w:t>赛场风险预判与应急保障</w:t>
            </w:r>
            <w:r>
              <w:t>：赛前出具赛道赛场风险提示文件，针对设备故障、流程失误、时间管控异常等突发情形，梳理处置步骤、分工与应急技巧，提升参赛团队临场处置能力；全过程提供技术方案设计、作品技术指导、场地设备配置配套技术保障，为参赛全流程提供技术支撑。</w:t>
            </w:r>
          </w:p>
        </w:tc>
        <w:tc>
          <w:tcPr>
            <w:tcW w:w="1589" w:type="dxa"/>
          </w:tcPr>
          <w:p w14:paraId="68BD7107">
            <w:pPr>
              <w:keepNext w:val="0"/>
              <w:keepLines w:val="0"/>
              <w:pageBreakBefore w:val="0"/>
              <w:widowControl w:val="0"/>
              <w:numPr>
                <w:ilvl w:val="0"/>
                <w:numId w:val="0"/>
              </w:numPr>
              <w:kinsoku/>
              <w:wordWrap/>
              <w:overflowPunct/>
              <w:topLinePunct w:val="0"/>
              <w:autoSpaceDE/>
              <w:autoSpaceDN/>
              <w:bidi w:val="0"/>
              <w:snapToGrid w:val="0"/>
              <w:spacing w:line="400" w:lineRule="exact"/>
              <w:ind w:right="0" w:rightChars="0"/>
              <w:jc w:val="center"/>
              <w:rPr>
                <w:rFonts w:hint="default" w:ascii="宋体" w:hAnsi="宋体" w:eastAsia="宋体"/>
                <w:b w:val="0"/>
                <w:bCs w:val="0"/>
                <w:color w:val="000000"/>
                <w:sz w:val="28"/>
                <w:szCs w:val="28"/>
                <w:vertAlign w:val="baseline"/>
                <w:lang w:val="en-US" w:eastAsia="zh-CN"/>
              </w:rPr>
            </w:pPr>
            <w:r>
              <w:rPr>
                <w:rFonts w:hint="eastAsia"/>
                <w:lang w:val="en-US" w:eastAsia="zh-CN"/>
              </w:rPr>
              <w:t>50，</w:t>
            </w:r>
            <w:r>
              <w:rPr>
                <w:rFonts w:hint="default"/>
                <w:lang w:val="en-US" w:eastAsia="zh-CN"/>
              </w:rPr>
              <w:t>000</w:t>
            </w:r>
            <w:r>
              <w:rPr>
                <w:rFonts w:hint="eastAsia"/>
                <w:lang w:val="en-US" w:eastAsia="zh-CN"/>
              </w:rPr>
              <w:t>元</w:t>
            </w:r>
          </w:p>
        </w:tc>
        <w:tc>
          <w:tcPr>
            <w:tcW w:w="2644" w:type="dxa"/>
          </w:tcPr>
          <w:p w14:paraId="59A0DCC5">
            <w:pPr>
              <w:keepNext w:val="0"/>
              <w:keepLines w:val="0"/>
              <w:pageBreakBefore w:val="0"/>
              <w:widowControl w:val="0"/>
              <w:numPr>
                <w:ilvl w:val="0"/>
                <w:numId w:val="0"/>
              </w:numPr>
              <w:kinsoku/>
              <w:wordWrap/>
              <w:overflowPunct/>
              <w:topLinePunct w:val="0"/>
              <w:autoSpaceDE/>
              <w:autoSpaceDN/>
              <w:bidi w:val="0"/>
              <w:snapToGrid w:val="0"/>
              <w:spacing w:line="400" w:lineRule="exact"/>
              <w:ind w:right="0" w:rightChars="0"/>
              <w:jc w:val="left"/>
              <w:rPr>
                <w:rFonts w:hint="default" w:ascii="仿宋_GB2312" w:hAnsi="仿宋_GB2312" w:eastAsia="仿宋_GB2312"/>
                <w:color w:val="0000FF"/>
                <w:sz w:val="28"/>
                <w:szCs w:val="28"/>
                <w:vertAlign w:val="baseline"/>
                <w:lang w:val="en-US" w:eastAsia="zh-CN"/>
              </w:rPr>
            </w:pPr>
          </w:p>
        </w:tc>
      </w:tr>
    </w:tbl>
    <w:p w14:paraId="41CDFCD4">
      <w:pPr>
        <w:numPr>
          <w:ilvl w:val="0"/>
          <w:numId w:val="1"/>
        </w:numPr>
        <w:bidi w:val="0"/>
        <w:ind w:left="0" w:leftChars="0" w:firstLine="560" w:firstLineChars="200"/>
        <w:jc w:val="left"/>
        <w:rPr>
          <w:rFonts w:hint="eastAsia" w:ascii="黑体" w:hAnsi="黑体" w:eastAsia="黑体"/>
          <w:sz w:val="28"/>
          <w:szCs w:val="28"/>
          <w:lang w:val="en-US" w:eastAsia="zh-CN"/>
        </w:rPr>
      </w:pPr>
      <w:r>
        <w:rPr>
          <w:rFonts w:hint="eastAsia" w:ascii="黑体" w:hAnsi="黑体" w:eastAsia="黑体"/>
          <w:sz w:val="28"/>
          <w:szCs w:val="28"/>
          <w:lang w:val="en-US" w:eastAsia="zh-CN"/>
        </w:rPr>
        <w:t>资质要求</w:t>
      </w:r>
    </w:p>
    <w:p w14:paraId="2A94F0AB">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240" w:lineRule="auto"/>
        <w:ind w:left="0" w:leftChars="0" w:right="0" w:rightChars="0" w:firstLine="560" w:firstLineChars="200"/>
        <w:jc w:val="both"/>
        <w:textAlignment w:val="auto"/>
        <w:rPr>
          <w:rFonts w:hint="eastAsia" w:ascii="宋体" w:hAnsi="宋体" w:eastAsia="宋体"/>
          <w:b w:val="0"/>
          <w:bCs w:val="0"/>
          <w:color w:val="000000"/>
          <w:kern w:val="2"/>
          <w:sz w:val="28"/>
          <w:szCs w:val="28"/>
          <w:lang w:val="en-US" w:eastAsia="zh-CN" w:bidi="ar-SA"/>
        </w:rPr>
      </w:pPr>
      <w:r>
        <w:rPr>
          <w:rFonts w:hint="eastAsia" w:ascii="宋体" w:hAnsi="宋体" w:eastAsia="宋体"/>
          <w:b w:val="0"/>
          <w:bCs w:val="0"/>
          <w:color w:val="000000"/>
          <w:kern w:val="2"/>
          <w:sz w:val="28"/>
          <w:szCs w:val="28"/>
          <w:lang w:val="en-US" w:eastAsia="zh-CN" w:bidi="ar-SA"/>
        </w:rPr>
        <w:t>入围</w:t>
      </w:r>
      <w:r>
        <w:rPr>
          <w:rFonts w:hint="eastAsia" w:ascii="宋体" w:hAnsi="宋体"/>
          <w:color w:val="auto"/>
          <w:sz w:val="28"/>
          <w:szCs w:val="28"/>
          <w:lang w:val="en-US" w:eastAsia="zh-CN"/>
        </w:rPr>
        <w:t>“</w:t>
      </w:r>
      <w:r>
        <w:rPr>
          <w:rFonts w:hint="eastAsia" w:ascii="宋体" w:hAnsi="宋体" w:eastAsia="宋体"/>
          <w:color w:val="auto"/>
          <w:sz w:val="28"/>
          <w:szCs w:val="28"/>
          <w:lang w:val="en-US" w:eastAsia="zh-CN"/>
        </w:rPr>
        <w:t>202</w:t>
      </w:r>
      <w:r>
        <w:rPr>
          <w:rFonts w:hint="eastAsia" w:ascii="宋体" w:hAnsi="宋体"/>
          <w:color w:val="auto"/>
          <w:sz w:val="28"/>
          <w:szCs w:val="28"/>
          <w:lang w:val="en-US" w:eastAsia="zh-CN"/>
        </w:rPr>
        <w:t>6</w:t>
      </w:r>
      <w:r>
        <w:rPr>
          <w:rFonts w:hint="eastAsia" w:ascii="宋体" w:hAnsi="宋体" w:eastAsia="宋体"/>
          <w:color w:val="auto"/>
          <w:sz w:val="28"/>
          <w:szCs w:val="28"/>
          <w:lang w:val="en-US" w:eastAsia="zh-CN"/>
        </w:rPr>
        <w:t>年世界职业院校技能大赛中华传统技艺赛道</w:t>
      </w:r>
      <w:r>
        <w:rPr>
          <w:rFonts w:hint="eastAsia" w:ascii="宋体" w:hAnsi="宋体" w:cs="宋体"/>
          <w:color w:val="auto"/>
          <w:sz w:val="28"/>
          <w:szCs w:val="28"/>
          <w:vertAlign w:val="baseline"/>
          <w:lang w:val="en-US" w:eastAsia="zh-CN"/>
        </w:rPr>
        <w:t>技术服务</w:t>
      </w:r>
      <w:r>
        <w:rPr>
          <w:rFonts w:hint="eastAsia" w:ascii="宋体" w:hAnsi="宋体"/>
          <w:color w:val="auto"/>
          <w:sz w:val="28"/>
          <w:szCs w:val="28"/>
          <w:lang w:val="en-US" w:eastAsia="zh-CN"/>
        </w:rPr>
        <w:t>”</w:t>
      </w:r>
      <w:r>
        <w:rPr>
          <w:rFonts w:hint="eastAsia"/>
          <w:b w:val="0"/>
          <w:bCs w:val="0"/>
          <w:color w:val="000000"/>
          <w:sz w:val="28"/>
          <w:szCs w:val="28"/>
          <w:vertAlign w:val="baseline"/>
          <w:lang w:val="en-US" w:eastAsia="zh-CN"/>
        </w:rPr>
        <w:t>项目</w:t>
      </w:r>
      <w:r>
        <w:rPr>
          <w:rFonts w:hint="eastAsia" w:ascii="宋体" w:hAnsi="宋体" w:eastAsia="宋体"/>
          <w:b w:val="0"/>
          <w:bCs w:val="0"/>
          <w:color w:val="000000"/>
          <w:kern w:val="2"/>
          <w:sz w:val="28"/>
          <w:szCs w:val="28"/>
          <w:lang w:val="en-US" w:eastAsia="zh-CN" w:bidi="ar-SA"/>
        </w:rPr>
        <w:t>供应商名单，并提供以下证明文件（均加盖本单位公章）</w:t>
      </w:r>
      <w:r>
        <w:rPr>
          <w:rFonts w:hint="eastAsia" w:ascii="宋体" w:hAnsi="宋体" w:eastAsia="宋体"/>
          <w:kern w:val="2"/>
          <w:sz w:val="28"/>
          <w:szCs w:val="28"/>
          <w:lang w:val="en-US" w:eastAsia="zh-CN" w:bidi="ar-SA"/>
        </w:rPr>
        <w:t>：</w:t>
      </w:r>
    </w:p>
    <w:p w14:paraId="0E6354F1">
      <w:pPr>
        <w:keepNext w:val="0"/>
        <w:keepLines w:val="0"/>
        <w:pageBreakBefore w:val="0"/>
        <w:widowControl w:val="0"/>
        <w:numPr>
          <w:ilvl w:val="0"/>
          <w:numId w:val="3"/>
        </w:numPr>
        <w:kinsoku/>
        <w:wordWrap/>
        <w:overflowPunct/>
        <w:topLinePunct w:val="0"/>
        <w:autoSpaceDE/>
        <w:autoSpaceDN/>
        <w:bidi w:val="0"/>
        <w:adjustRightInd/>
        <w:snapToGrid w:val="0"/>
        <w:spacing w:before="157" w:beforeLines="50" w:line="240" w:lineRule="auto"/>
        <w:ind w:left="0" w:leftChars="0" w:right="0" w:rightChars="0" w:firstLine="560" w:firstLineChars="200"/>
        <w:jc w:val="both"/>
        <w:textAlignment w:val="auto"/>
        <w:rPr>
          <w:rFonts w:hint="eastAsia" w:ascii="宋体" w:hAnsi="宋体" w:eastAsia="宋体"/>
          <w:b w:val="0"/>
          <w:bCs w:val="0"/>
          <w:color w:val="000000"/>
          <w:kern w:val="2"/>
          <w:sz w:val="28"/>
          <w:szCs w:val="28"/>
          <w:lang w:val="en-US" w:eastAsia="zh-CN" w:bidi="ar-SA"/>
        </w:rPr>
      </w:pPr>
      <w:r>
        <w:rPr>
          <w:rFonts w:hint="eastAsia" w:ascii="宋体" w:hAnsi="宋体" w:eastAsia="宋体"/>
          <w:b w:val="0"/>
          <w:bCs w:val="0"/>
          <w:color w:val="000000"/>
          <w:kern w:val="2"/>
          <w:sz w:val="28"/>
          <w:szCs w:val="28"/>
          <w:lang w:val="en-US" w:eastAsia="zh-CN" w:bidi="ar-SA"/>
        </w:rPr>
        <w:t xml:space="preserve">营业执照复印件。 </w:t>
      </w:r>
    </w:p>
    <w:p w14:paraId="052B3E2F">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240" w:lineRule="auto"/>
        <w:ind w:left="0" w:leftChars="0" w:right="0" w:rightChars="0" w:firstLine="560" w:firstLineChars="200"/>
        <w:jc w:val="both"/>
        <w:textAlignment w:val="auto"/>
        <w:rPr>
          <w:rFonts w:hint="eastAsia" w:ascii="宋体" w:hAnsi="宋体" w:eastAsia="宋体"/>
          <w:b w:val="0"/>
          <w:bCs w:val="0"/>
          <w:color w:val="000000"/>
          <w:kern w:val="2"/>
          <w:sz w:val="28"/>
          <w:szCs w:val="28"/>
          <w:lang w:val="en-US" w:eastAsia="zh-CN" w:bidi="ar-SA"/>
        </w:rPr>
      </w:pPr>
      <w:r>
        <w:rPr>
          <w:rFonts w:hint="eastAsia" w:ascii="宋体" w:hAnsi="宋体" w:eastAsia="宋体"/>
          <w:b w:val="0"/>
          <w:bCs w:val="0"/>
          <w:color w:val="000000"/>
          <w:kern w:val="2"/>
          <w:sz w:val="28"/>
          <w:szCs w:val="28"/>
          <w:lang w:val="en-US" w:eastAsia="zh-CN" w:bidi="ar-SA"/>
        </w:rPr>
        <w:t>（</w:t>
      </w:r>
      <w:r>
        <w:rPr>
          <w:rFonts w:hint="eastAsia" w:ascii="宋体" w:hAnsi="宋体"/>
          <w:b w:val="0"/>
          <w:bCs w:val="0"/>
          <w:color w:val="000000"/>
          <w:kern w:val="2"/>
          <w:sz w:val="28"/>
          <w:szCs w:val="28"/>
          <w:lang w:val="en-US" w:eastAsia="zh-CN" w:bidi="ar-SA"/>
        </w:rPr>
        <w:t>2</w:t>
      </w:r>
      <w:r>
        <w:rPr>
          <w:rFonts w:hint="eastAsia" w:ascii="宋体" w:hAnsi="宋体" w:eastAsia="宋体"/>
          <w:b w:val="0"/>
          <w:bCs w:val="0"/>
          <w:color w:val="000000"/>
          <w:kern w:val="2"/>
          <w:sz w:val="28"/>
          <w:szCs w:val="28"/>
          <w:lang w:val="en-US" w:eastAsia="zh-CN" w:bidi="ar-SA"/>
        </w:rPr>
        <w:t xml:space="preserve">）报价书（见附件）。 </w:t>
      </w:r>
    </w:p>
    <w:p w14:paraId="0320D950">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240" w:lineRule="auto"/>
        <w:ind w:left="0" w:leftChars="0" w:right="0" w:rightChars="0" w:firstLine="560" w:firstLineChars="200"/>
        <w:jc w:val="both"/>
        <w:textAlignment w:val="auto"/>
        <w:rPr>
          <w:rFonts w:hint="eastAsia" w:ascii="宋体" w:hAnsi="宋体" w:eastAsia="宋体"/>
          <w:b w:val="0"/>
          <w:bCs w:val="0"/>
          <w:color w:val="000000"/>
          <w:kern w:val="2"/>
          <w:sz w:val="28"/>
          <w:szCs w:val="28"/>
          <w:lang w:val="en-US" w:eastAsia="zh-CN" w:bidi="ar-SA"/>
        </w:rPr>
      </w:pPr>
      <w:r>
        <w:rPr>
          <w:rFonts w:hint="eastAsia" w:ascii="宋体" w:hAnsi="宋体" w:eastAsia="宋体"/>
          <w:b w:val="0"/>
          <w:bCs w:val="0"/>
          <w:color w:val="000000"/>
          <w:kern w:val="2"/>
          <w:sz w:val="28"/>
          <w:szCs w:val="28"/>
          <w:lang w:val="en-US" w:eastAsia="zh-CN" w:bidi="ar-SA"/>
        </w:rPr>
        <w:t xml:space="preserve">报价方式 </w:t>
      </w:r>
    </w:p>
    <w:p w14:paraId="4B067354">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240" w:lineRule="auto"/>
        <w:ind w:left="0" w:leftChars="0" w:right="0" w:rightChars="0" w:firstLine="560" w:firstLineChars="200"/>
        <w:jc w:val="both"/>
        <w:textAlignment w:val="auto"/>
        <w:rPr>
          <w:rFonts w:hint="eastAsia" w:ascii="宋体" w:hAnsi="宋体" w:eastAsia="宋体"/>
          <w:b w:val="0"/>
          <w:bCs w:val="0"/>
          <w:color w:val="000000"/>
          <w:kern w:val="2"/>
          <w:sz w:val="28"/>
          <w:szCs w:val="28"/>
          <w:lang w:val="en-US" w:eastAsia="zh-CN" w:bidi="ar-SA"/>
        </w:rPr>
      </w:pPr>
      <w:r>
        <w:rPr>
          <w:rFonts w:hint="eastAsia" w:ascii="宋体" w:hAnsi="宋体" w:eastAsia="宋体"/>
          <w:b w:val="0"/>
          <w:bCs w:val="0"/>
          <w:color w:val="000000"/>
          <w:kern w:val="2"/>
          <w:sz w:val="28"/>
          <w:szCs w:val="28"/>
          <w:lang w:val="en-US" w:eastAsia="zh-CN" w:bidi="ar-SA"/>
        </w:rPr>
        <w:t>拟参与此项目，如报价前有疑问可来电咨询。请于202</w:t>
      </w:r>
      <w:r>
        <w:rPr>
          <w:rFonts w:hint="eastAsia" w:ascii="宋体" w:hAnsi="宋体"/>
          <w:b w:val="0"/>
          <w:bCs w:val="0"/>
          <w:color w:val="000000"/>
          <w:kern w:val="2"/>
          <w:sz w:val="28"/>
          <w:szCs w:val="28"/>
          <w:lang w:val="en-US" w:eastAsia="zh-CN" w:bidi="ar-SA"/>
        </w:rPr>
        <w:t>6</w:t>
      </w:r>
      <w:r>
        <w:rPr>
          <w:rFonts w:hint="eastAsia" w:ascii="宋体" w:hAnsi="宋体" w:eastAsia="宋体"/>
          <w:b w:val="0"/>
          <w:bCs w:val="0"/>
          <w:color w:val="000000"/>
          <w:kern w:val="2"/>
          <w:sz w:val="28"/>
          <w:szCs w:val="28"/>
          <w:lang w:val="en-US" w:eastAsia="zh-CN" w:bidi="ar-SA"/>
        </w:rPr>
        <w:t>年</w:t>
      </w:r>
      <w:r>
        <w:rPr>
          <w:rFonts w:hint="eastAsia" w:ascii="宋体" w:hAnsi="宋体"/>
          <w:b w:val="0"/>
          <w:bCs w:val="0"/>
          <w:color w:val="000000"/>
          <w:kern w:val="2"/>
          <w:sz w:val="28"/>
          <w:szCs w:val="28"/>
          <w:lang w:val="en-US" w:eastAsia="zh-CN" w:bidi="ar-SA"/>
        </w:rPr>
        <w:t>09</w:t>
      </w:r>
      <w:r>
        <w:rPr>
          <w:rFonts w:hint="eastAsia" w:ascii="宋体" w:hAnsi="宋体" w:eastAsia="宋体"/>
          <w:b w:val="0"/>
          <w:bCs w:val="0"/>
          <w:color w:val="000000"/>
          <w:kern w:val="2"/>
          <w:sz w:val="28"/>
          <w:szCs w:val="28"/>
          <w:lang w:val="en-US" w:eastAsia="zh-CN" w:bidi="ar-SA"/>
        </w:rPr>
        <w:t>月</w:t>
      </w:r>
      <w:r>
        <w:rPr>
          <w:rFonts w:hint="eastAsia" w:ascii="宋体" w:hAnsi="宋体"/>
          <w:b w:val="0"/>
          <w:bCs w:val="0"/>
          <w:color w:val="000000"/>
          <w:kern w:val="2"/>
          <w:sz w:val="28"/>
          <w:szCs w:val="28"/>
          <w:lang w:val="en-US" w:eastAsia="zh-CN" w:bidi="ar-SA"/>
        </w:rPr>
        <w:t>6</w:t>
      </w:r>
      <w:bookmarkStart w:id="0" w:name="_GoBack"/>
      <w:bookmarkEnd w:id="0"/>
      <w:r>
        <w:rPr>
          <w:rFonts w:hint="eastAsia" w:ascii="宋体" w:hAnsi="宋体" w:eastAsia="宋体"/>
          <w:b w:val="0"/>
          <w:bCs w:val="0"/>
          <w:color w:val="000000"/>
          <w:kern w:val="2"/>
          <w:sz w:val="28"/>
          <w:szCs w:val="28"/>
          <w:lang w:val="en-US" w:eastAsia="zh-CN" w:bidi="ar-SA"/>
        </w:rPr>
        <w:t>日10时前将最终报价书（必须标明明确价格）及相关证明文件递交至浙江省东阳市广福东街1号浙江广厦建设职业技术大学。</w:t>
      </w:r>
    </w:p>
    <w:p w14:paraId="2F6049AB">
      <w:pPr>
        <w:keepNext w:val="0"/>
        <w:keepLines w:val="0"/>
        <w:pageBreakBefore w:val="0"/>
        <w:widowControl w:val="0"/>
        <w:numPr>
          <w:ilvl w:val="0"/>
          <w:numId w:val="0"/>
        </w:numPr>
        <w:kinsoku/>
        <w:wordWrap/>
        <w:overflowPunct/>
        <w:topLinePunct w:val="0"/>
        <w:autoSpaceDE/>
        <w:autoSpaceDN/>
        <w:bidi w:val="0"/>
        <w:adjustRightInd/>
        <w:spacing w:before="157" w:beforeLines="50" w:line="240" w:lineRule="auto"/>
        <w:ind w:firstLine="560" w:firstLineChars="200"/>
        <w:jc w:val="left"/>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四、项目联系人及联系方式</w:t>
      </w:r>
    </w:p>
    <w:p w14:paraId="62437368">
      <w:pPr>
        <w:keepNext w:val="0"/>
        <w:keepLines w:val="0"/>
        <w:pageBreakBefore w:val="0"/>
        <w:widowControl w:val="0"/>
        <w:numPr>
          <w:ilvl w:val="0"/>
          <w:numId w:val="0"/>
        </w:numPr>
        <w:kinsoku/>
        <w:wordWrap/>
        <w:overflowPunct/>
        <w:topLinePunct w:val="0"/>
        <w:autoSpaceDE/>
        <w:autoSpaceDN/>
        <w:bidi w:val="0"/>
        <w:adjustRightInd/>
        <w:spacing w:before="157" w:beforeLines="50" w:line="240" w:lineRule="auto"/>
        <w:ind w:firstLine="560" w:firstLineChars="200"/>
        <w:textAlignment w:val="auto"/>
        <w:rPr>
          <w:rFonts w:hint="eastAsia" w:ascii="黑体" w:hAnsi="黑体" w:eastAsia="黑体"/>
          <w:sz w:val="28"/>
          <w:szCs w:val="28"/>
          <w:lang w:val="en-US" w:eastAsia="zh-CN"/>
        </w:rPr>
      </w:pPr>
      <w:r>
        <w:rPr>
          <w:rFonts w:hint="eastAsia" w:ascii="宋体" w:hAnsi="宋体" w:eastAsia="宋体"/>
          <w:kern w:val="2"/>
          <w:sz w:val="28"/>
          <w:szCs w:val="28"/>
          <w:lang w:val="en-US" w:eastAsia="zh-CN" w:bidi="ar-SA"/>
        </w:rPr>
        <w:t>联系人：</w:t>
      </w:r>
      <w:r>
        <w:rPr>
          <w:rFonts w:hint="eastAsia" w:ascii="宋体" w:hAnsi="宋体"/>
          <w:kern w:val="2"/>
          <w:sz w:val="28"/>
          <w:szCs w:val="28"/>
          <w:lang w:val="en-US" w:eastAsia="zh-CN" w:bidi="ar-SA"/>
        </w:rPr>
        <w:t>冯俏君</w:t>
      </w:r>
      <w:r>
        <w:rPr>
          <w:rFonts w:hint="eastAsia" w:ascii="宋体" w:hAnsi="宋体" w:eastAsia="宋体"/>
          <w:kern w:val="2"/>
          <w:sz w:val="28"/>
          <w:szCs w:val="28"/>
          <w:lang w:val="en-US" w:eastAsia="zh-CN" w:bidi="ar-SA"/>
        </w:rPr>
        <w:t xml:space="preserve">  </w:t>
      </w:r>
      <w:r>
        <w:rPr>
          <w:rFonts w:hint="eastAsia" w:ascii="宋体" w:hAnsi="宋体"/>
          <w:kern w:val="2"/>
          <w:sz w:val="28"/>
          <w:szCs w:val="28"/>
          <w:lang w:val="en-US" w:eastAsia="zh-CN" w:bidi="ar-SA"/>
        </w:rPr>
        <w:t xml:space="preserve">     </w:t>
      </w:r>
      <w:r>
        <w:rPr>
          <w:rFonts w:hint="eastAsia" w:ascii="宋体" w:hAnsi="宋体" w:eastAsia="宋体"/>
          <w:kern w:val="2"/>
          <w:sz w:val="28"/>
          <w:szCs w:val="28"/>
          <w:lang w:val="en-US" w:eastAsia="zh-CN" w:bidi="ar-SA"/>
        </w:rPr>
        <w:t>电话：</w:t>
      </w:r>
      <w:r>
        <w:rPr>
          <w:rFonts w:hint="eastAsia" w:ascii="宋体" w:hAnsi="宋体"/>
          <w:kern w:val="2"/>
          <w:sz w:val="28"/>
          <w:szCs w:val="28"/>
          <w:lang w:val="en-US" w:eastAsia="zh-CN" w:bidi="ar-SA"/>
        </w:rPr>
        <w:t>13566989269</w:t>
      </w:r>
      <w:r>
        <w:rPr>
          <w:rFonts w:hint="eastAsia" w:ascii="宋体" w:hAnsi="宋体" w:eastAsia="宋体"/>
          <w:kern w:val="2"/>
          <w:sz w:val="28"/>
          <w:szCs w:val="28"/>
          <w:lang w:val="en-US" w:eastAsia="zh-CN" w:bidi="ar-SA"/>
        </w:rPr>
        <w:t>；</w:t>
      </w:r>
    </w:p>
    <w:p w14:paraId="282FBB93">
      <w:pPr>
        <w:pStyle w:val="8"/>
        <w:numPr>
          <w:ilvl w:val="0"/>
          <w:numId w:val="0"/>
        </w:numPr>
        <w:ind w:firstLine="4200" w:firstLineChars="1500"/>
        <w:jc w:val="right"/>
        <w:rPr>
          <w:rFonts w:hint="eastAsia" w:ascii="黑体" w:hAnsi="黑体" w:eastAsia="黑体"/>
          <w:sz w:val="28"/>
          <w:szCs w:val="28"/>
          <w:lang w:val="en-US" w:eastAsia="zh-CN"/>
        </w:rPr>
      </w:pPr>
      <w:r>
        <w:rPr>
          <w:rFonts w:hint="eastAsia" w:ascii="黑体" w:hAnsi="黑体" w:eastAsia="黑体"/>
          <w:sz w:val="28"/>
          <w:szCs w:val="28"/>
          <w:lang w:val="en-US" w:eastAsia="zh-CN"/>
        </w:rPr>
        <w:t xml:space="preserve">浙江广厦建设职业技术大学 </w:t>
      </w:r>
    </w:p>
    <w:p w14:paraId="065DE8F8">
      <w:pPr>
        <w:pStyle w:val="8"/>
        <w:numPr>
          <w:ilvl w:val="0"/>
          <w:numId w:val="0"/>
        </w:numPr>
        <w:ind w:firstLine="5040" w:firstLineChars="1800"/>
        <w:jc w:val="right"/>
        <w:rPr>
          <w:rFonts w:hint="eastAsia" w:ascii="黑体" w:hAnsi="黑体" w:eastAsia="黑体"/>
          <w:color w:val="auto"/>
          <w:sz w:val="28"/>
          <w:szCs w:val="28"/>
          <w:lang w:val="en-US" w:eastAsia="zh-CN"/>
        </w:rPr>
        <w:sectPr>
          <w:pgSz w:w="11906" w:h="16838"/>
          <w:pgMar w:top="720" w:right="720" w:bottom="720" w:left="720" w:header="851" w:footer="992" w:gutter="0"/>
          <w:cols w:space="720" w:num="1"/>
          <w:docGrid w:type="lines" w:linePitch="312" w:charSpace="0"/>
        </w:sectPr>
      </w:pPr>
      <w:r>
        <w:rPr>
          <w:rFonts w:hint="eastAsia" w:ascii="黑体" w:hAnsi="黑体" w:eastAsia="黑体"/>
          <w:color w:val="auto"/>
          <w:sz w:val="28"/>
          <w:szCs w:val="28"/>
          <w:lang w:val="en-US" w:eastAsia="zh-CN"/>
        </w:rPr>
        <w:t>2026年8月26日</w:t>
      </w:r>
    </w:p>
    <w:p w14:paraId="3466DDCD">
      <w:pPr>
        <w:pStyle w:val="8"/>
        <w:numPr>
          <w:ilvl w:val="0"/>
          <w:numId w:val="0"/>
        </w:numPr>
        <w:ind w:firstLine="3780" w:firstLineChars="1800"/>
        <w:jc w:val="right"/>
      </w:pPr>
    </w:p>
    <w:p w14:paraId="73EB6A62">
      <w:pPr>
        <w:pStyle w:val="8"/>
        <w:numPr>
          <w:ilvl w:val="0"/>
          <w:numId w:val="0"/>
        </w:numPr>
        <w:jc w:val="left"/>
        <w:rPr>
          <w:rFonts w:hint="eastAsia"/>
          <w:sz w:val="36"/>
          <w:szCs w:val="36"/>
          <w:lang w:val="en-US" w:eastAsia="zh-CN"/>
        </w:rPr>
      </w:pPr>
      <w:r>
        <w:rPr>
          <w:rFonts w:hint="eastAsia"/>
          <w:sz w:val="36"/>
          <w:szCs w:val="36"/>
          <w:lang w:val="en-US" w:eastAsia="zh-CN"/>
        </w:rPr>
        <w:t>附件</w:t>
      </w:r>
    </w:p>
    <w:p w14:paraId="33189EF9">
      <w:pPr>
        <w:pStyle w:val="8"/>
        <w:numPr>
          <w:ilvl w:val="0"/>
          <w:numId w:val="0"/>
        </w:numPr>
        <w:jc w:val="center"/>
        <w:rPr>
          <w:rFonts w:hint="eastAsia" w:ascii="宋体" w:hAnsi="宋体" w:cs="宋体"/>
          <w:color w:val="auto"/>
          <w:sz w:val="30"/>
          <w:szCs w:val="30"/>
          <w:vertAlign w:val="baseline"/>
          <w:lang w:val="en-US" w:eastAsia="zh-CN"/>
        </w:rPr>
      </w:pPr>
      <w:r>
        <w:rPr>
          <w:rFonts w:hint="eastAsia" w:ascii="宋体" w:hAnsi="宋体" w:cs="宋体"/>
          <w:color w:val="auto"/>
          <w:sz w:val="30"/>
          <w:szCs w:val="30"/>
          <w:vertAlign w:val="baseline"/>
          <w:lang w:val="en-US" w:eastAsia="zh-CN"/>
        </w:rPr>
        <w:t>2026年世界职业院校技能大赛中华传统技艺赛道竞赛项目技术服务报价表</w:t>
      </w:r>
    </w:p>
    <w:tbl>
      <w:tblPr>
        <w:tblStyle w:val="3"/>
        <w:tblW w:w="4662" w:type="pct"/>
        <w:tblInd w:w="7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9"/>
        <w:gridCol w:w="2668"/>
        <w:gridCol w:w="2670"/>
        <w:gridCol w:w="2673"/>
      </w:tblGrid>
      <w:tr w14:paraId="26AF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 w:type="pct"/>
          </w:tcPr>
          <w:p w14:paraId="194B9302">
            <w:pPr>
              <w:pStyle w:val="8"/>
              <w:numPr>
                <w:ilvl w:val="0"/>
                <w:numId w:val="0"/>
              </w:numPr>
              <w:jc w:val="center"/>
              <w:rPr>
                <w:rFonts w:hint="default" w:ascii="宋体" w:hAnsi="宋体" w:cs="宋体"/>
                <w:color w:val="auto"/>
                <w:sz w:val="30"/>
                <w:szCs w:val="30"/>
                <w:vertAlign w:val="baseline"/>
                <w:lang w:val="en-US" w:eastAsia="zh-CN"/>
              </w:rPr>
            </w:pPr>
            <w:r>
              <w:rPr>
                <w:rFonts w:hint="eastAsia" w:ascii="宋体" w:hAnsi="宋体" w:cs="宋体"/>
                <w:color w:val="auto"/>
                <w:sz w:val="30"/>
                <w:szCs w:val="30"/>
                <w:vertAlign w:val="baseline"/>
                <w:lang w:val="en-US" w:eastAsia="zh-CN"/>
              </w:rPr>
              <w:t>序号</w:t>
            </w:r>
          </w:p>
        </w:tc>
        <w:tc>
          <w:tcPr>
            <w:tcW w:w="1339" w:type="pct"/>
          </w:tcPr>
          <w:p w14:paraId="004645B0">
            <w:pPr>
              <w:pStyle w:val="8"/>
              <w:numPr>
                <w:ilvl w:val="0"/>
                <w:numId w:val="0"/>
              </w:numPr>
              <w:jc w:val="center"/>
              <w:rPr>
                <w:rFonts w:hint="default" w:ascii="宋体" w:hAnsi="宋体" w:cs="宋体"/>
                <w:color w:val="auto"/>
                <w:sz w:val="30"/>
                <w:szCs w:val="30"/>
                <w:vertAlign w:val="baseline"/>
                <w:lang w:val="en-US" w:eastAsia="zh-CN"/>
              </w:rPr>
            </w:pPr>
            <w:r>
              <w:rPr>
                <w:rFonts w:hint="eastAsia" w:ascii="宋体" w:hAnsi="宋体" w:cs="宋体"/>
                <w:color w:val="auto"/>
                <w:sz w:val="30"/>
                <w:szCs w:val="30"/>
                <w:vertAlign w:val="baseline"/>
                <w:lang w:val="en-US" w:eastAsia="zh-CN"/>
              </w:rPr>
              <w:t>审计项目名称</w:t>
            </w:r>
          </w:p>
        </w:tc>
        <w:tc>
          <w:tcPr>
            <w:tcW w:w="1340" w:type="pct"/>
          </w:tcPr>
          <w:p w14:paraId="494BA87C">
            <w:pPr>
              <w:pStyle w:val="8"/>
              <w:numPr>
                <w:ilvl w:val="0"/>
                <w:numId w:val="0"/>
              </w:numPr>
              <w:jc w:val="center"/>
              <w:rPr>
                <w:rFonts w:hint="default" w:ascii="宋体" w:hAnsi="宋体" w:cs="宋体"/>
                <w:color w:val="auto"/>
                <w:sz w:val="30"/>
                <w:szCs w:val="30"/>
                <w:vertAlign w:val="baseline"/>
                <w:lang w:val="en-US" w:eastAsia="zh-CN"/>
              </w:rPr>
            </w:pPr>
            <w:r>
              <w:rPr>
                <w:rFonts w:hint="eastAsia" w:ascii="宋体" w:hAnsi="宋体" w:cs="宋体"/>
                <w:color w:val="auto"/>
                <w:sz w:val="30"/>
                <w:szCs w:val="30"/>
                <w:vertAlign w:val="baseline"/>
                <w:lang w:val="en-US" w:eastAsia="zh-CN"/>
              </w:rPr>
              <w:t>报价（元）</w:t>
            </w:r>
          </w:p>
        </w:tc>
        <w:tc>
          <w:tcPr>
            <w:tcW w:w="1341" w:type="pct"/>
          </w:tcPr>
          <w:p w14:paraId="45026CC9">
            <w:pPr>
              <w:pStyle w:val="8"/>
              <w:numPr>
                <w:ilvl w:val="0"/>
                <w:numId w:val="0"/>
              </w:numPr>
              <w:jc w:val="center"/>
              <w:rPr>
                <w:rFonts w:hint="default" w:ascii="宋体" w:hAnsi="宋体" w:cs="宋体"/>
                <w:color w:val="auto"/>
                <w:sz w:val="30"/>
                <w:szCs w:val="30"/>
                <w:vertAlign w:val="baseline"/>
                <w:lang w:val="en-US" w:eastAsia="zh-CN"/>
              </w:rPr>
            </w:pPr>
            <w:r>
              <w:rPr>
                <w:rFonts w:hint="eastAsia" w:ascii="宋体" w:hAnsi="宋体" w:cs="宋体"/>
                <w:color w:val="auto"/>
                <w:sz w:val="30"/>
                <w:szCs w:val="30"/>
                <w:vertAlign w:val="baseline"/>
                <w:lang w:val="en-US" w:eastAsia="zh-CN"/>
              </w:rPr>
              <w:t>备注</w:t>
            </w:r>
          </w:p>
        </w:tc>
      </w:tr>
      <w:tr w14:paraId="3651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 w:type="pct"/>
          </w:tcPr>
          <w:p w14:paraId="25D373A0">
            <w:pPr>
              <w:pStyle w:val="8"/>
              <w:numPr>
                <w:ilvl w:val="0"/>
                <w:numId w:val="0"/>
              </w:numPr>
              <w:jc w:val="center"/>
              <w:rPr>
                <w:rFonts w:hint="default" w:ascii="宋体" w:hAnsi="宋体" w:cs="宋体"/>
                <w:color w:val="auto"/>
                <w:sz w:val="30"/>
                <w:szCs w:val="30"/>
                <w:vertAlign w:val="baseline"/>
                <w:lang w:val="en-US" w:eastAsia="zh-CN"/>
              </w:rPr>
            </w:pPr>
            <w:r>
              <w:rPr>
                <w:rFonts w:hint="eastAsia" w:ascii="宋体" w:hAnsi="宋体" w:cs="宋体"/>
                <w:color w:val="auto"/>
                <w:sz w:val="30"/>
                <w:szCs w:val="30"/>
                <w:vertAlign w:val="baseline"/>
                <w:lang w:val="en-US" w:eastAsia="zh-CN"/>
              </w:rPr>
              <w:t>1</w:t>
            </w:r>
          </w:p>
        </w:tc>
        <w:tc>
          <w:tcPr>
            <w:tcW w:w="1339" w:type="pct"/>
          </w:tcPr>
          <w:p w14:paraId="6EA148EC">
            <w:pPr>
              <w:pStyle w:val="8"/>
              <w:numPr>
                <w:ilvl w:val="0"/>
                <w:numId w:val="0"/>
              </w:numPr>
              <w:jc w:val="center"/>
              <w:rPr>
                <w:rFonts w:hint="default" w:ascii="宋体" w:hAnsi="宋体" w:cs="宋体"/>
                <w:color w:val="auto"/>
                <w:sz w:val="30"/>
                <w:szCs w:val="30"/>
                <w:vertAlign w:val="baseline"/>
                <w:lang w:val="en-US" w:eastAsia="zh-CN"/>
              </w:rPr>
            </w:pPr>
            <w:r>
              <w:rPr>
                <w:rFonts w:hint="eastAsia" w:ascii="宋体" w:hAnsi="宋体" w:eastAsia="宋体"/>
                <w:color w:val="auto"/>
                <w:sz w:val="28"/>
                <w:szCs w:val="28"/>
                <w:lang w:val="en-US" w:eastAsia="zh-CN"/>
              </w:rPr>
              <w:t>202</w:t>
            </w:r>
            <w:r>
              <w:rPr>
                <w:rFonts w:hint="eastAsia" w:ascii="宋体" w:hAnsi="宋体"/>
                <w:color w:val="auto"/>
                <w:sz w:val="28"/>
                <w:szCs w:val="28"/>
                <w:lang w:val="en-US" w:eastAsia="zh-CN"/>
              </w:rPr>
              <w:t>6</w:t>
            </w:r>
            <w:r>
              <w:rPr>
                <w:rFonts w:hint="eastAsia" w:ascii="宋体" w:hAnsi="宋体" w:eastAsia="宋体"/>
                <w:color w:val="auto"/>
                <w:sz w:val="28"/>
                <w:szCs w:val="28"/>
                <w:lang w:val="en-US" w:eastAsia="zh-CN"/>
              </w:rPr>
              <w:t>年世界职业院校技能大赛中华传统技艺赛道竞赛项目技术服务</w:t>
            </w:r>
          </w:p>
        </w:tc>
        <w:tc>
          <w:tcPr>
            <w:tcW w:w="1340" w:type="pct"/>
          </w:tcPr>
          <w:p w14:paraId="4838CD69">
            <w:pPr>
              <w:pStyle w:val="8"/>
              <w:numPr>
                <w:ilvl w:val="0"/>
                <w:numId w:val="0"/>
              </w:numPr>
              <w:jc w:val="center"/>
              <w:rPr>
                <w:rFonts w:hint="default" w:ascii="宋体" w:hAnsi="宋体" w:cs="宋体"/>
                <w:color w:val="auto"/>
                <w:sz w:val="30"/>
                <w:szCs w:val="30"/>
                <w:vertAlign w:val="baseline"/>
                <w:lang w:val="en-US" w:eastAsia="zh-CN"/>
              </w:rPr>
            </w:pPr>
          </w:p>
        </w:tc>
        <w:tc>
          <w:tcPr>
            <w:tcW w:w="1341" w:type="pct"/>
          </w:tcPr>
          <w:p w14:paraId="16FB5377">
            <w:pPr>
              <w:pStyle w:val="8"/>
              <w:numPr>
                <w:ilvl w:val="0"/>
                <w:numId w:val="0"/>
              </w:numPr>
              <w:jc w:val="center"/>
              <w:rPr>
                <w:rFonts w:hint="default" w:ascii="宋体" w:hAnsi="宋体" w:cs="宋体"/>
                <w:color w:val="auto"/>
                <w:sz w:val="30"/>
                <w:szCs w:val="30"/>
                <w:vertAlign w:val="baseline"/>
                <w:lang w:val="en-US" w:eastAsia="zh-CN"/>
              </w:rPr>
            </w:pPr>
          </w:p>
        </w:tc>
      </w:tr>
      <w:tr w14:paraId="023B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 w:type="pct"/>
            <w:vMerge w:val="restart"/>
          </w:tcPr>
          <w:p w14:paraId="46F99F11">
            <w:pPr>
              <w:pStyle w:val="8"/>
              <w:numPr>
                <w:ilvl w:val="0"/>
                <w:numId w:val="0"/>
              </w:numPr>
              <w:jc w:val="center"/>
              <w:rPr>
                <w:rFonts w:hint="default" w:ascii="宋体" w:hAnsi="宋体" w:cs="宋体"/>
                <w:color w:val="auto"/>
                <w:sz w:val="30"/>
                <w:szCs w:val="30"/>
                <w:vertAlign w:val="baseline"/>
                <w:lang w:val="en-US" w:eastAsia="zh-CN"/>
              </w:rPr>
            </w:pPr>
            <w:r>
              <w:rPr>
                <w:rFonts w:hint="eastAsia" w:ascii="宋体" w:hAnsi="宋体" w:cs="宋体"/>
                <w:color w:val="auto"/>
                <w:sz w:val="30"/>
                <w:szCs w:val="30"/>
                <w:vertAlign w:val="baseline"/>
                <w:lang w:val="en-US" w:eastAsia="zh-CN"/>
              </w:rPr>
              <w:t>合计金额（元）</w:t>
            </w:r>
          </w:p>
        </w:tc>
        <w:tc>
          <w:tcPr>
            <w:tcW w:w="1339" w:type="pct"/>
          </w:tcPr>
          <w:p w14:paraId="566EC251">
            <w:pPr>
              <w:pStyle w:val="8"/>
              <w:numPr>
                <w:ilvl w:val="0"/>
                <w:numId w:val="0"/>
              </w:numPr>
              <w:jc w:val="center"/>
              <w:rPr>
                <w:rFonts w:hint="default" w:ascii="宋体" w:hAnsi="宋体" w:cs="宋体"/>
                <w:color w:val="auto"/>
                <w:sz w:val="30"/>
                <w:szCs w:val="30"/>
                <w:vertAlign w:val="baseline"/>
                <w:lang w:val="en-US" w:eastAsia="zh-CN"/>
              </w:rPr>
            </w:pPr>
            <w:r>
              <w:rPr>
                <w:rFonts w:hint="eastAsia" w:ascii="宋体" w:hAnsi="宋体" w:cs="宋体"/>
                <w:color w:val="auto"/>
                <w:sz w:val="30"/>
                <w:szCs w:val="30"/>
                <w:vertAlign w:val="baseline"/>
                <w:lang w:val="en-US" w:eastAsia="zh-CN"/>
              </w:rPr>
              <w:t>小写</w:t>
            </w:r>
          </w:p>
        </w:tc>
        <w:tc>
          <w:tcPr>
            <w:tcW w:w="2681" w:type="pct"/>
            <w:gridSpan w:val="2"/>
          </w:tcPr>
          <w:p w14:paraId="4AEC1513">
            <w:pPr>
              <w:pStyle w:val="8"/>
              <w:numPr>
                <w:ilvl w:val="0"/>
                <w:numId w:val="0"/>
              </w:numPr>
              <w:jc w:val="center"/>
              <w:rPr>
                <w:rFonts w:hint="default" w:ascii="宋体" w:hAnsi="宋体" w:cs="宋体"/>
                <w:color w:val="auto"/>
                <w:sz w:val="30"/>
                <w:szCs w:val="30"/>
                <w:vertAlign w:val="baseline"/>
                <w:lang w:val="en-US" w:eastAsia="zh-CN"/>
              </w:rPr>
            </w:pPr>
          </w:p>
        </w:tc>
      </w:tr>
      <w:tr w14:paraId="617B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 w:type="pct"/>
            <w:vMerge w:val="continue"/>
          </w:tcPr>
          <w:p w14:paraId="466F786A">
            <w:pPr>
              <w:pStyle w:val="8"/>
              <w:numPr>
                <w:ilvl w:val="0"/>
                <w:numId w:val="0"/>
              </w:numPr>
              <w:jc w:val="center"/>
              <w:rPr>
                <w:rFonts w:hint="default" w:ascii="宋体" w:hAnsi="宋体" w:cs="宋体"/>
                <w:color w:val="auto"/>
                <w:sz w:val="30"/>
                <w:szCs w:val="30"/>
                <w:vertAlign w:val="baseline"/>
                <w:lang w:val="en-US" w:eastAsia="zh-CN"/>
              </w:rPr>
            </w:pPr>
          </w:p>
        </w:tc>
        <w:tc>
          <w:tcPr>
            <w:tcW w:w="1339" w:type="pct"/>
          </w:tcPr>
          <w:p w14:paraId="04F685D6">
            <w:pPr>
              <w:pStyle w:val="8"/>
              <w:numPr>
                <w:ilvl w:val="0"/>
                <w:numId w:val="0"/>
              </w:numPr>
              <w:jc w:val="center"/>
              <w:rPr>
                <w:rFonts w:hint="default" w:ascii="宋体" w:hAnsi="宋体" w:cs="宋体"/>
                <w:color w:val="auto"/>
                <w:sz w:val="30"/>
                <w:szCs w:val="30"/>
                <w:vertAlign w:val="baseline"/>
                <w:lang w:val="en-US" w:eastAsia="zh-CN"/>
              </w:rPr>
            </w:pPr>
            <w:r>
              <w:rPr>
                <w:rFonts w:hint="eastAsia" w:ascii="宋体" w:hAnsi="宋体" w:cs="宋体"/>
                <w:color w:val="auto"/>
                <w:sz w:val="30"/>
                <w:szCs w:val="30"/>
                <w:vertAlign w:val="baseline"/>
                <w:lang w:val="en-US" w:eastAsia="zh-CN"/>
              </w:rPr>
              <w:t>大写</w:t>
            </w:r>
          </w:p>
        </w:tc>
        <w:tc>
          <w:tcPr>
            <w:tcW w:w="2681" w:type="pct"/>
            <w:gridSpan w:val="2"/>
          </w:tcPr>
          <w:p w14:paraId="007E2264">
            <w:pPr>
              <w:pStyle w:val="8"/>
              <w:numPr>
                <w:ilvl w:val="0"/>
                <w:numId w:val="0"/>
              </w:numPr>
              <w:jc w:val="center"/>
              <w:rPr>
                <w:rFonts w:hint="default" w:ascii="宋体" w:hAnsi="宋体" w:cs="宋体"/>
                <w:color w:val="auto"/>
                <w:sz w:val="30"/>
                <w:szCs w:val="30"/>
                <w:vertAlign w:val="baseline"/>
                <w:lang w:val="en-US" w:eastAsia="zh-CN"/>
              </w:rPr>
            </w:pPr>
          </w:p>
        </w:tc>
      </w:tr>
    </w:tbl>
    <w:p w14:paraId="3F3E3DFA">
      <w:pPr>
        <w:pStyle w:val="8"/>
        <w:numPr>
          <w:ilvl w:val="0"/>
          <w:numId w:val="0"/>
        </w:numPr>
        <w:ind w:firstLine="3780" w:firstLineChars="1800"/>
        <w:jc w:val="center"/>
        <w:rPr>
          <w:rFonts w:hint="default" w:ascii="宋体" w:hAnsi="宋体" w:cs="宋体"/>
          <w:color w:val="0000FF"/>
          <w:sz w:val="21"/>
          <w:szCs w:val="21"/>
          <w:vertAlign w:val="baseline"/>
          <w:lang w:val="en-US" w:eastAsia="zh-CN"/>
        </w:rPr>
      </w:pPr>
    </w:p>
    <w:p w14:paraId="4FED3DCC">
      <w:pPr>
        <w:pStyle w:val="8"/>
        <w:numPr>
          <w:ilvl w:val="0"/>
          <w:numId w:val="0"/>
        </w:numPr>
        <w:jc w:val="left"/>
        <w:rPr>
          <w:rFonts w:hint="eastAsia"/>
          <w:sz w:val="30"/>
          <w:szCs w:val="30"/>
          <w:lang w:val="en-US" w:eastAsia="zh-CN"/>
        </w:rPr>
      </w:pPr>
      <w:r>
        <w:rPr>
          <w:rFonts w:hint="eastAsia"/>
          <w:sz w:val="30"/>
          <w:szCs w:val="30"/>
          <w:lang w:val="en-US" w:eastAsia="zh-CN"/>
        </w:rPr>
        <w:t>询价须知：</w:t>
      </w:r>
    </w:p>
    <w:p w14:paraId="173A4A56">
      <w:pPr>
        <w:pStyle w:val="8"/>
        <w:numPr>
          <w:ilvl w:val="0"/>
          <w:numId w:val="0"/>
        </w:numPr>
        <w:tabs>
          <w:tab w:val="left" w:pos="2718"/>
        </w:tabs>
        <w:jc w:val="left"/>
        <w:rPr>
          <w:rFonts w:hint="default"/>
          <w:sz w:val="30"/>
          <w:szCs w:val="30"/>
          <w:lang w:val="en-US" w:eastAsia="zh-CN"/>
        </w:rPr>
      </w:pPr>
      <w:r>
        <w:rPr>
          <w:rFonts w:hint="eastAsia"/>
          <w:sz w:val="30"/>
          <w:szCs w:val="30"/>
          <w:lang w:val="en-US" w:eastAsia="zh-CN"/>
        </w:rPr>
        <w:t xml:space="preserve">  合计报价上限</w:t>
      </w:r>
      <w:r>
        <w:rPr>
          <w:rFonts w:hint="eastAsia"/>
          <w:sz w:val="30"/>
          <w:szCs w:val="30"/>
          <w:lang w:val="en-US" w:eastAsia="zh-CN"/>
        </w:rPr>
        <w:tab/>
      </w:r>
      <w:r>
        <w:rPr>
          <w:rFonts w:hint="eastAsia"/>
          <w:sz w:val="30"/>
          <w:szCs w:val="30"/>
          <w:lang w:val="en-US" w:eastAsia="zh-CN"/>
        </w:rPr>
        <w:t>50,000元。</w:t>
      </w:r>
    </w:p>
    <w:p w14:paraId="48063355">
      <w:pPr>
        <w:pStyle w:val="8"/>
        <w:numPr>
          <w:ilvl w:val="0"/>
          <w:numId w:val="0"/>
        </w:numPr>
        <w:jc w:val="left"/>
        <w:rPr>
          <w:rFonts w:hint="eastAsia"/>
          <w:sz w:val="30"/>
          <w:szCs w:val="30"/>
          <w:lang w:val="en-US" w:eastAsia="zh-CN"/>
        </w:rPr>
      </w:pPr>
    </w:p>
    <w:p w14:paraId="2069A0BE">
      <w:pPr>
        <w:pStyle w:val="8"/>
        <w:numPr>
          <w:ilvl w:val="0"/>
          <w:numId w:val="0"/>
        </w:numPr>
        <w:jc w:val="left"/>
        <w:rPr>
          <w:rFonts w:hint="eastAsia"/>
          <w:sz w:val="30"/>
          <w:szCs w:val="30"/>
          <w:lang w:val="en-US" w:eastAsia="zh-CN"/>
        </w:rPr>
      </w:pPr>
    </w:p>
    <w:p w14:paraId="1015DCFA">
      <w:pPr>
        <w:pStyle w:val="8"/>
        <w:numPr>
          <w:ilvl w:val="0"/>
          <w:numId w:val="0"/>
        </w:numPr>
        <w:jc w:val="left"/>
        <w:rPr>
          <w:rFonts w:hint="default"/>
          <w:sz w:val="30"/>
          <w:szCs w:val="30"/>
          <w:lang w:val="en-US" w:eastAsia="zh-CN"/>
        </w:rPr>
      </w:pPr>
      <w:r>
        <w:rPr>
          <w:rFonts w:hint="eastAsia"/>
          <w:sz w:val="30"/>
          <w:szCs w:val="30"/>
          <w:lang w:val="en-US" w:eastAsia="zh-CN"/>
        </w:rPr>
        <w:t>报价单位（盖章）：</w:t>
      </w:r>
    </w:p>
    <w:p w14:paraId="189678B3">
      <w:pPr>
        <w:pStyle w:val="8"/>
        <w:numPr>
          <w:ilvl w:val="0"/>
          <w:numId w:val="0"/>
        </w:numPr>
        <w:jc w:val="left"/>
        <w:rPr>
          <w:rFonts w:hint="eastAsia"/>
          <w:sz w:val="30"/>
          <w:szCs w:val="30"/>
          <w:lang w:val="en-US" w:eastAsia="zh-CN"/>
        </w:rPr>
      </w:pPr>
      <w:r>
        <w:rPr>
          <w:rFonts w:hint="eastAsia"/>
          <w:sz w:val="30"/>
          <w:szCs w:val="30"/>
          <w:lang w:val="en-US" w:eastAsia="zh-CN"/>
        </w:rPr>
        <w:t>联系人及号码：</w:t>
      </w:r>
    </w:p>
    <w:p w14:paraId="14C677CB">
      <w:pPr>
        <w:pStyle w:val="8"/>
        <w:numPr>
          <w:ilvl w:val="0"/>
          <w:numId w:val="0"/>
        </w:numPr>
        <w:jc w:val="left"/>
        <w:rPr>
          <w:rFonts w:hint="eastAsia"/>
          <w:sz w:val="36"/>
          <w:szCs w:val="36"/>
          <w:lang w:val="en-US" w:eastAsia="zh-CN"/>
        </w:rPr>
      </w:pPr>
    </w:p>
    <w:p w14:paraId="71402AB7">
      <w:pPr>
        <w:pStyle w:val="8"/>
        <w:numPr>
          <w:ilvl w:val="0"/>
          <w:numId w:val="0"/>
        </w:numPr>
        <w:jc w:val="left"/>
        <w:rPr>
          <w:rFonts w:hint="default"/>
          <w:lang w:val="en-US" w:eastAsia="zh-CN"/>
        </w:rPr>
      </w:pPr>
    </w:p>
    <w:p w14:paraId="2122E041">
      <w:pPr>
        <w:pStyle w:val="8"/>
        <w:numPr>
          <w:ilvl w:val="0"/>
          <w:numId w:val="0"/>
        </w:numPr>
        <w:jc w:val="left"/>
        <w:rPr>
          <w:rFonts w:hint="eastAsia"/>
          <w:sz w:val="36"/>
          <w:szCs w:val="36"/>
          <w:lang w:val="en-US" w:eastAsia="zh-CN"/>
        </w:rPr>
      </w:pPr>
    </w:p>
    <w:p w14:paraId="64EC8FB7">
      <w:pPr>
        <w:pStyle w:val="8"/>
        <w:numPr>
          <w:ilvl w:val="0"/>
          <w:numId w:val="0"/>
        </w:numPr>
        <w:jc w:val="both"/>
        <w:rPr>
          <w:rFonts w:hint="default"/>
          <w:lang w:val="en-US" w:eastAsia="zh-CN"/>
        </w:rPr>
      </w:pPr>
    </w:p>
    <w:p w14:paraId="2C884D60">
      <w:pPr>
        <w:pStyle w:val="8"/>
        <w:numPr>
          <w:ilvl w:val="0"/>
          <w:numId w:val="0"/>
        </w:numPr>
        <w:rPr>
          <w:rFonts w:hint="eastAsia" w:ascii="宋体" w:hAnsi="宋体"/>
          <w:kern w:val="2"/>
          <w:sz w:val="28"/>
          <w:szCs w:val="28"/>
          <w:lang w:val="en-US" w:eastAsia="zh-CN" w:bidi="ar-SA"/>
        </w:rPr>
      </w:pPr>
    </w:p>
    <w:p w14:paraId="6C02D0D5">
      <w:pPr>
        <w:pStyle w:val="8"/>
        <w:numPr>
          <w:ilvl w:val="0"/>
          <w:numId w:val="0"/>
        </w:numPr>
        <w:rPr>
          <w:rFonts w:hint="default" w:ascii="宋体" w:hAnsi="宋体"/>
          <w:kern w:val="2"/>
          <w:sz w:val="28"/>
          <w:szCs w:val="28"/>
          <w:lang w:val="en-US" w:eastAsia="zh-CN" w:bidi="ar-SA"/>
        </w:rPr>
      </w:pP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32FF1F"/>
    <w:multiLevelType w:val="singleLevel"/>
    <w:tmpl w:val="A032FF1F"/>
    <w:lvl w:ilvl="0" w:tentative="0">
      <w:start w:val="1"/>
      <w:numFmt w:val="decimal"/>
      <w:suff w:val="nothing"/>
      <w:lvlText w:val="（%1）"/>
      <w:lvlJc w:val="left"/>
    </w:lvl>
  </w:abstractNum>
  <w:abstractNum w:abstractNumId="1">
    <w:nsid w:val="F0D62A02"/>
    <w:multiLevelType w:val="multilevel"/>
    <w:tmpl w:val="F0D62A0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00000000"/>
    <w:multiLevelType w:val="singleLevel"/>
    <w:tmpl w:val="00000000"/>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919D2"/>
    <w:rsid w:val="01152D6D"/>
    <w:rsid w:val="0D932AA0"/>
    <w:rsid w:val="0E39290E"/>
    <w:rsid w:val="0EA075B0"/>
    <w:rsid w:val="0FAE5165"/>
    <w:rsid w:val="14C82772"/>
    <w:rsid w:val="17A726F4"/>
    <w:rsid w:val="20B05A4A"/>
    <w:rsid w:val="226C3577"/>
    <w:rsid w:val="266A3555"/>
    <w:rsid w:val="2BC72863"/>
    <w:rsid w:val="324C43A1"/>
    <w:rsid w:val="32F66C53"/>
    <w:rsid w:val="37C14E9C"/>
    <w:rsid w:val="3DF433C6"/>
    <w:rsid w:val="40926433"/>
    <w:rsid w:val="4A4664A7"/>
    <w:rsid w:val="538C2C4D"/>
    <w:rsid w:val="56DA483C"/>
    <w:rsid w:val="5B4416A2"/>
    <w:rsid w:val="5EDE7F1D"/>
    <w:rsid w:val="65AA3BB4"/>
    <w:rsid w:val="68925915"/>
    <w:rsid w:val="706C4498"/>
    <w:rsid w:val="77EB1AB7"/>
    <w:rsid w:val="7CDF73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 w:type="character" w:customStyle="1" w:styleId="6">
    <w:name w:val="默认段落字体1"/>
    <w:qFormat/>
    <w:uiPriority w:val="0"/>
  </w:style>
  <w:style w:type="table" w:customStyle="1" w:styleId="7">
    <w:name w:val="普通表格1"/>
    <w:qFormat/>
    <w:uiPriority w:val="0"/>
  </w:style>
  <w:style w:type="paragraph" w:customStyle="1" w:styleId="8">
    <w:name w:val="正文文本1"/>
    <w:basedOn w:val="1"/>
    <w:qFormat/>
    <w:uiPriority w:val="0"/>
    <w:pPr>
      <w:spacing w:after="120"/>
    </w:pPr>
    <w:rPr>
      <w:rFonts w:ascii="Times New Roman" w:hAnsi="Times New Roman"/>
      <w:szCs w:val="20"/>
    </w:rPr>
  </w:style>
  <w:style w:type="paragraph" w:customStyle="1" w:styleId="9">
    <w:name w:val="普通(网站)1"/>
    <w:basedOn w:val="1"/>
    <w:qFormat/>
    <w:uiPriority w:val="0"/>
    <w:pPr>
      <w:spacing w:before="100" w:beforeAutospacing="1" w:after="100" w:afterAutospacing="1"/>
      <w:ind w:left="0" w:right="0"/>
      <w:jc w:val="left"/>
    </w:pPr>
    <w:rPr>
      <w:kern w:val="0"/>
      <w:sz w:val="24"/>
      <w:lang w:val="en-US" w:eastAsia="zh-CN"/>
    </w:rPr>
  </w:style>
  <w:style w:type="paragraph" w:customStyle="1" w:styleId="10">
    <w:name w:val="正文首行缩进1"/>
    <w:basedOn w:val="1"/>
    <w:qFormat/>
    <w:uiPriority w:val="0"/>
    <w:pPr>
      <w:spacing w:after="0"/>
      <w:ind w:firstLine="720"/>
      <w:jc w:val="both"/>
    </w:pPr>
    <w:rPr>
      <w:rFonts w:ascii="Times New Roman" w:hAnsi="Times New Roman" w:eastAsia="仿宋_GB2312"/>
      <w:sz w:val="24"/>
      <w:szCs w:val="20"/>
    </w:rPr>
  </w:style>
  <w:style w:type="table" w:customStyle="1" w:styleId="11">
    <w:name w:val="网格型1"/>
    <w:basedOn w:val="7"/>
    <w:qFormat/>
    <w:uiPriority w:val="0"/>
    <w:pPr>
      <w:widowControl w:val="0"/>
      <w:jc w:val="both"/>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1273</Words>
  <Characters>1340</Characters>
  <Paragraphs>56</Paragraphs>
  <TotalTime>3456</TotalTime>
  <ScaleCrop>false</ScaleCrop>
  <LinksUpToDate>false</LinksUpToDate>
  <CharactersWithSpaces>1368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2024-10-21T02:12:00Z</dcterms:created>
  <dc:creator>宋朱缘@朱宋琦 妈妈</dc:creator>
  <cp:lastModifiedBy>宋朱缘@朱宋琦 妈妈</cp:lastModifiedBy>
  <dcterms:modified xsi:type="dcterms:W3CDTF">2026-09-03T06:30:26Z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187B89885FC84162AEAB74ADF90A4F6F_13</vt:lpwstr>
  </property>
  <property fmtid="{D5CDD505-2E9C-101B-9397-08002B2CF9AE}" pid="4" name="KSOTemplateDocerSaveRecord">
    <vt:lpwstr>eyJoZGlkIjoiMDRhYmU0NGFiNzgxYWVhM2Y0Mzk1MTAwY2NlNzMyYmUiLCJ1c2VySWQiOiI5MTk1NjQxMDYifQ==</vt:lpwstr>
  </property>
</Properties>
</file>